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8FF48" w14:textId="77777777" w:rsidR="000135B4" w:rsidRPr="000135B4" w:rsidRDefault="000135B4" w:rsidP="000135B4">
      <w:pPr>
        <w:keepNext/>
        <w:keepLines/>
        <w:pageBreakBefore/>
        <w:spacing w:line="360" w:lineRule="auto"/>
        <w:contextualSpacing/>
        <w:jc w:val="center"/>
        <w:outlineLvl w:val="0"/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</w:pPr>
      <w:r w:rsidRPr="000135B4">
        <w:rPr>
          <w:rFonts w:ascii="Times New Roman" w:eastAsia="方正小标宋简体" w:hAnsi="Times New Roman" w:cs="Times New Roman"/>
          <w:b/>
          <w:bCs/>
          <w:kern w:val="44"/>
          <w:sz w:val="44"/>
          <w:szCs w:val="44"/>
        </w:rPr>
        <w:t>网络环境安全管理规定</w:t>
      </w:r>
    </w:p>
    <w:p w14:paraId="19464B58" w14:textId="77777777" w:rsidR="000135B4" w:rsidRPr="000135B4" w:rsidRDefault="000135B4" w:rsidP="000135B4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32"/>
        </w:rPr>
      </w:pPr>
      <w:bookmarkStart w:id="0" w:name="_Toc345076174"/>
      <w:bookmarkStart w:id="1" w:name="_Toc493100342"/>
      <w:bookmarkStart w:id="2" w:name="_Toc5182158"/>
      <w:bookmarkStart w:id="3" w:name="_Toc5190012"/>
      <w:bookmarkStart w:id="4" w:name="_Toc5803047"/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第一章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总则</w:t>
      </w:r>
      <w:bookmarkEnd w:id="0"/>
      <w:bookmarkEnd w:id="1"/>
      <w:bookmarkEnd w:id="2"/>
      <w:bookmarkEnd w:id="3"/>
      <w:bookmarkEnd w:id="4"/>
    </w:p>
    <w:p w14:paraId="38C52ECF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为提高北京大学信息系统所在网络环境的安全性，降低信息系统安全风险，确保信息系统在可靠环境下运行，特制定本规定。</w:t>
      </w:r>
    </w:p>
    <w:p w14:paraId="7FA18BBE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本规定适用于北京大学所有单位。</w:t>
      </w:r>
    </w:p>
    <w:p w14:paraId="737B0257" w14:textId="77777777" w:rsidR="000135B4" w:rsidRPr="000135B4" w:rsidRDefault="000135B4" w:rsidP="000135B4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32"/>
        </w:rPr>
      </w:pPr>
      <w:bookmarkStart w:id="5" w:name="_Toc5803048"/>
      <w:bookmarkStart w:id="6" w:name="_Toc345076175"/>
      <w:bookmarkStart w:id="7" w:name="_Toc493100343"/>
      <w:bookmarkStart w:id="8" w:name="_Toc5182159"/>
      <w:bookmarkStart w:id="9" w:name="_Toc5190013"/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第二章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网络运维管理</w:t>
      </w:r>
      <w:bookmarkEnd w:id="5"/>
    </w:p>
    <w:p w14:paraId="5115A96F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计算中心指定专人负责校级网络和信息系统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安全运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维和监控，为二级单位相关工作提供技术支持。二级单位负责本单位网络的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安全运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维和监控。运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维单位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应通过网管系统对通信线路、网络设备、主机系统和应用软件的运行状况进行实时监测，形成监测记录，保障各项业务的正常运行。</w:t>
      </w:r>
    </w:p>
    <w:p w14:paraId="4711DB78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网络运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维单位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应定期分析监测记录，对设备状态、网络流量、恶意代码、补丁升级等安全事项进行评测，发现可疑行为和安全隐患，主动采取必要措施。</w:t>
      </w:r>
    </w:p>
    <w:p w14:paraId="131D63C3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网络运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维单位应制定运维工作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计划，根据运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维执行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情况形成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安全运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维报告，包含但不限于：设备维护、安全监控、操作日志、日志审核、故障管理、系统升级、应急处置等内容。</w:t>
      </w:r>
    </w:p>
    <w:p w14:paraId="6988E928" w14:textId="77777777" w:rsidR="000135B4" w:rsidRPr="000135B4" w:rsidRDefault="000135B4" w:rsidP="000135B4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32"/>
        </w:rPr>
      </w:pPr>
      <w:bookmarkStart w:id="10" w:name="_Toc5803049"/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第三章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网络及安全设备管理</w:t>
      </w:r>
      <w:bookmarkEnd w:id="6"/>
      <w:bookmarkEnd w:id="7"/>
      <w:bookmarkEnd w:id="8"/>
      <w:bookmarkEnd w:id="9"/>
      <w:bookmarkEnd w:id="10"/>
    </w:p>
    <w:p w14:paraId="4465A203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应按照分层设计、区域划分的原则规划网络拓扑结构，保证核心网络稳定可靠，接入网络安全运行。网络拓扑</w:t>
      </w:r>
      <w:r w:rsidRPr="000135B4">
        <w:rPr>
          <w:rFonts w:ascii="Times New Roman" w:eastAsia="仿宋" w:hAnsi="Times New Roman" w:cs="Times New Roman"/>
          <w:sz w:val="28"/>
          <w:szCs w:val="28"/>
        </w:rPr>
        <w:lastRenderedPageBreak/>
        <w:t>结构应便于扩充和管理、易于问题排查和故障隔离。网络管理员应定期分析网络性能，了解系统资源使用情况及通信效率，提出网络优化方案。</w:t>
      </w:r>
    </w:p>
    <w:p w14:paraId="0A0517F2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应合理配置边界访问控制设备，通过访问控制技术保护重要网段，实现与其它网段的访问隔离，仅开放必要的端口和服务。</w:t>
      </w:r>
    </w:p>
    <w:p w14:paraId="00746401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网络拓扑结构、</w:t>
      </w:r>
      <w:r w:rsidRPr="000135B4">
        <w:rPr>
          <w:rFonts w:ascii="Times New Roman" w:eastAsia="仿宋" w:hAnsi="Times New Roman" w:cs="Times New Roman"/>
          <w:sz w:val="28"/>
          <w:szCs w:val="28"/>
        </w:rPr>
        <w:t>IP</w:t>
      </w:r>
      <w:r w:rsidRPr="000135B4">
        <w:rPr>
          <w:rFonts w:ascii="Times New Roman" w:eastAsia="仿宋" w:hAnsi="Times New Roman" w:cs="Times New Roman"/>
          <w:sz w:val="28"/>
          <w:szCs w:val="28"/>
        </w:rPr>
        <w:t>地址等信息属于系统运行相关关键信息，应在一定范围内予以保密。</w:t>
      </w:r>
    </w:p>
    <w:p w14:paraId="0C2D199D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严格按照流程执行网络和安全设备的安装、配置、变更、撤销等操作。</w:t>
      </w:r>
    </w:p>
    <w:p w14:paraId="393C45B2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按照最小服务原则为每台网络和安全设备进行配置。</w:t>
      </w:r>
    </w:p>
    <w:p w14:paraId="584AA2B4" w14:textId="77777777" w:rsidR="000135B4" w:rsidRPr="000135B4" w:rsidRDefault="000135B4" w:rsidP="000135B4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32"/>
        </w:rPr>
      </w:pPr>
      <w:bookmarkStart w:id="11" w:name="_Toc345076176"/>
      <w:bookmarkStart w:id="12" w:name="_Toc493100344"/>
      <w:bookmarkStart w:id="13" w:name="_Toc5182160"/>
      <w:bookmarkStart w:id="14" w:name="_Toc5190014"/>
      <w:bookmarkStart w:id="15" w:name="_Toc5803050"/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第四章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用户账号管理</w:t>
      </w:r>
      <w:bookmarkEnd w:id="11"/>
      <w:bookmarkEnd w:id="12"/>
      <w:bookmarkEnd w:id="13"/>
      <w:bookmarkEnd w:id="14"/>
      <w:bookmarkEnd w:id="15"/>
    </w:p>
    <w:p w14:paraId="4250BE3D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遵循最小授权原则，设置网络设备登录账号的权限级别。</w:t>
      </w:r>
    </w:p>
    <w:p w14:paraId="2E9F04C0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保证用户身份标志的唯一性，即不同的个人用户必须采用不同的用户名和口令登录设备，拥有不同的权限级别。在设备日志上记录用户登录操作，便于问题追查。</w:t>
      </w:r>
    </w:p>
    <w:p w14:paraId="25860461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网络管理员拥有网络设备的超级用户权限，不得私自为其他人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开通管理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权限。</w:t>
      </w:r>
    </w:p>
    <w:p w14:paraId="2162D3C8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网络管理员口令应遵循《口令管理规定》中对基础设施管理员口令的要求。</w:t>
      </w:r>
    </w:p>
    <w:p w14:paraId="676371A0" w14:textId="77777777" w:rsidR="000135B4" w:rsidRPr="000135B4" w:rsidRDefault="000135B4" w:rsidP="000135B4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32"/>
        </w:rPr>
      </w:pPr>
      <w:bookmarkStart w:id="16" w:name="_Toc345076177"/>
      <w:bookmarkStart w:id="17" w:name="_Toc493100345"/>
      <w:bookmarkStart w:id="18" w:name="_Toc5182161"/>
      <w:bookmarkStart w:id="19" w:name="_Toc5190015"/>
      <w:bookmarkStart w:id="20" w:name="_Toc5803051"/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lastRenderedPageBreak/>
        <w:t>第五章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配置文件及日志管理</w:t>
      </w:r>
      <w:bookmarkEnd w:id="16"/>
      <w:bookmarkEnd w:id="17"/>
      <w:bookmarkEnd w:id="18"/>
      <w:bookmarkEnd w:id="19"/>
      <w:bookmarkEnd w:id="20"/>
    </w:p>
    <w:p w14:paraId="6D0AFC63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修改网络和安全设备配置信息需经相关运</w:t>
      </w:r>
      <w:proofErr w:type="gramStart"/>
      <w:r w:rsidRPr="000135B4">
        <w:rPr>
          <w:rFonts w:ascii="Times New Roman" w:eastAsia="仿宋" w:hAnsi="Times New Roman" w:cs="Times New Roman"/>
          <w:sz w:val="28"/>
          <w:szCs w:val="28"/>
        </w:rPr>
        <w:t>维部门</w:t>
      </w:r>
      <w:proofErr w:type="gramEnd"/>
      <w:r w:rsidRPr="000135B4">
        <w:rPr>
          <w:rFonts w:ascii="Times New Roman" w:eastAsia="仿宋" w:hAnsi="Times New Roman" w:cs="Times New Roman"/>
          <w:sz w:val="28"/>
          <w:szCs w:val="28"/>
        </w:rPr>
        <w:t>集体讨论，获得批准后方可实施，并详细备份修改前及修改后配置信息文档。</w:t>
      </w:r>
    </w:p>
    <w:p w14:paraId="59814611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需定期备份网络和安全设备配置文件，并以电子文档形式保存。</w:t>
      </w:r>
    </w:p>
    <w:p w14:paraId="4F69EDCA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网络管理员须定期查看设备日志文件，及时发现异常情况，尽早消除安全隐患。</w:t>
      </w:r>
    </w:p>
    <w:p w14:paraId="2DD442A3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网络管理员应定期备份网络设备日志文件，至少保存</w:t>
      </w:r>
      <w:r w:rsidRPr="000135B4">
        <w:rPr>
          <w:rFonts w:ascii="Times New Roman" w:eastAsia="仿宋" w:hAnsi="Times New Roman" w:cs="Times New Roman"/>
          <w:sz w:val="28"/>
          <w:szCs w:val="28"/>
        </w:rPr>
        <w:t>6</w:t>
      </w:r>
      <w:r w:rsidRPr="000135B4">
        <w:rPr>
          <w:rFonts w:ascii="Times New Roman" w:eastAsia="仿宋" w:hAnsi="Times New Roman" w:cs="Times New Roman"/>
          <w:sz w:val="28"/>
          <w:szCs w:val="28"/>
        </w:rPr>
        <w:t>个月日志记录。</w:t>
      </w:r>
    </w:p>
    <w:p w14:paraId="430D4267" w14:textId="77777777" w:rsidR="000135B4" w:rsidRPr="000135B4" w:rsidRDefault="000135B4" w:rsidP="000135B4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32"/>
        </w:rPr>
      </w:pPr>
      <w:bookmarkStart w:id="21" w:name="_Toc345076179"/>
      <w:bookmarkStart w:id="22" w:name="_Toc493100347"/>
      <w:bookmarkStart w:id="23" w:name="_Toc5182162"/>
      <w:bookmarkStart w:id="24" w:name="_Toc5190016"/>
      <w:bookmarkStart w:id="25" w:name="_Toc5803052"/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第六章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设备软件及登录管理</w:t>
      </w:r>
      <w:bookmarkEnd w:id="21"/>
      <w:bookmarkEnd w:id="22"/>
      <w:bookmarkEnd w:id="23"/>
      <w:bookmarkEnd w:id="24"/>
      <w:bookmarkEnd w:id="25"/>
    </w:p>
    <w:p w14:paraId="6EB9456D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根据设备厂商稳定版本的发布情况，统筹安排网络和安全设备软件版本升级，降低安全隐患。</w:t>
      </w:r>
    </w:p>
    <w:p w14:paraId="54A968E6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网络和安全设备开启远程登录时需采用加密通信信道，并限定可远程登录主机，拒绝潜在攻击者，保证网络安全。</w:t>
      </w:r>
    </w:p>
    <w:p w14:paraId="022A149A" w14:textId="77777777" w:rsidR="000135B4" w:rsidRPr="000135B4" w:rsidRDefault="000135B4" w:rsidP="000135B4">
      <w:pPr>
        <w:keepNext/>
        <w:keepLines/>
        <w:adjustRightInd w:val="0"/>
        <w:snapToGrid w:val="0"/>
        <w:spacing w:beforeLines="50" w:before="156" w:afterLines="50" w:after="156" w:line="560" w:lineRule="exact"/>
        <w:jc w:val="center"/>
        <w:outlineLvl w:val="1"/>
        <w:rPr>
          <w:rFonts w:ascii="Times New Roman" w:eastAsia="楷体" w:hAnsi="Times New Roman" w:cs="Times New Roman"/>
          <w:b/>
          <w:bCs/>
          <w:sz w:val="32"/>
          <w:szCs w:val="32"/>
        </w:rPr>
      </w:pPr>
      <w:bookmarkStart w:id="26" w:name="_Toc345076181"/>
      <w:bookmarkStart w:id="27" w:name="_Toc493100349"/>
      <w:bookmarkStart w:id="28" w:name="_Toc5182163"/>
      <w:bookmarkStart w:id="29" w:name="_Toc5190017"/>
      <w:bookmarkStart w:id="30" w:name="_Toc5803053"/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第七章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 w:rsidRPr="000135B4">
        <w:rPr>
          <w:rFonts w:ascii="Times New Roman" w:eastAsia="楷体" w:hAnsi="Times New Roman" w:cs="Times New Roman"/>
          <w:b/>
          <w:bCs/>
          <w:sz w:val="32"/>
          <w:szCs w:val="32"/>
        </w:rPr>
        <w:t>附则</w:t>
      </w:r>
      <w:bookmarkEnd w:id="26"/>
      <w:bookmarkEnd w:id="27"/>
      <w:bookmarkEnd w:id="28"/>
      <w:bookmarkEnd w:id="29"/>
      <w:bookmarkEnd w:id="30"/>
    </w:p>
    <w:p w14:paraId="236511A4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本规定是《北京大学网络安全管理办法》</w:t>
      </w:r>
      <w:r w:rsidRPr="000135B4">
        <w:rPr>
          <w:rFonts w:ascii="Times New Roman" w:eastAsia="仿宋" w:hAnsi="Times New Roman" w:cs="Times New Roman" w:hint="eastAsia"/>
          <w:sz w:val="28"/>
          <w:szCs w:val="28"/>
        </w:rPr>
        <w:t>（试行）配套</w:t>
      </w:r>
      <w:r w:rsidRPr="000135B4">
        <w:rPr>
          <w:rFonts w:ascii="Times New Roman" w:eastAsia="仿宋" w:hAnsi="Times New Roman" w:cs="Times New Roman"/>
          <w:sz w:val="28"/>
          <w:szCs w:val="28"/>
        </w:rPr>
        <w:t>系列制度之一，从属于《北京大学网络安全管理办法》</w:t>
      </w:r>
      <w:r w:rsidRPr="000135B4">
        <w:rPr>
          <w:rFonts w:ascii="Times New Roman" w:eastAsia="仿宋" w:hAnsi="Times New Roman" w:cs="Times New Roman" w:hint="eastAsia"/>
          <w:sz w:val="28"/>
          <w:szCs w:val="28"/>
        </w:rPr>
        <w:t>（试行）</w:t>
      </w:r>
      <w:r w:rsidRPr="000135B4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7762952C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其他校区参考本规定制定相应管理规定。</w:t>
      </w:r>
    </w:p>
    <w:p w14:paraId="1C01AC9A" w14:textId="77777777" w:rsidR="000135B4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t>本规定由北京大学网络安全和信息化委员会办公室</w:t>
      </w:r>
      <w:r w:rsidRPr="000135B4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Pr="000135B4">
        <w:rPr>
          <w:rFonts w:ascii="Times New Roman" w:eastAsia="仿宋" w:hAnsi="Times New Roman" w:cs="Times New Roman"/>
          <w:sz w:val="28"/>
          <w:szCs w:val="28"/>
        </w:rPr>
        <w:t>北京大学计算中心负责解释。</w:t>
      </w:r>
    </w:p>
    <w:p w14:paraId="091537DA" w14:textId="0864AF98" w:rsidR="00EF04AE" w:rsidRPr="000135B4" w:rsidRDefault="000135B4" w:rsidP="000135B4">
      <w:pPr>
        <w:numPr>
          <w:ilvl w:val="0"/>
          <w:numId w:val="1"/>
        </w:numPr>
        <w:spacing w:line="560" w:lineRule="exact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0135B4">
        <w:rPr>
          <w:rFonts w:ascii="Times New Roman" w:eastAsia="仿宋" w:hAnsi="Times New Roman" w:cs="Times New Roman"/>
          <w:sz w:val="28"/>
          <w:szCs w:val="28"/>
        </w:rPr>
        <w:lastRenderedPageBreak/>
        <w:t>本规定自发布之日起施行。</w:t>
      </w:r>
      <w:bookmarkStart w:id="31" w:name="_GoBack"/>
      <w:bookmarkEnd w:id="31"/>
    </w:p>
    <w:sectPr w:rsidR="00EF04AE" w:rsidRPr="0001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28307" w14:textId="77777777" w:rsidR="005D6A04" w:rsidRDefault="005D6A04" w:rsidP="000135B4">
      <w:r>
        <w:separator/>
      </w:r>
    </w:p>
  </w:endnote>
  <w:endnote w:type="continuationSeparator" w:id="0">
    <w:p w14:paraId="0310B596" w14:textId="77777777" w:rsidR="005D6A04" w:rsidRDefault="005D6A04" w:rsidP="0001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B6226" w14:textId="77777777" w:rsidR="005D6A04" w:rsidRDefault="005D6A04" w:rsidP="000135B4">
      <w:r>
        <w:separator/>
      </w:r>
    </w:p>
  </w:footnote>
  <w:footnote w:type="continuationSeparator" w:id="0">
    <w:p w14:paraId="300B6776" w14:textId="77777777" w:rsidR="005D6A04" w:rsidRDefault="005D6A04" w:rsidP="0001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86BBE"/>
    <w:multiLevelType w:val="hybridMultilevel"/>
    <w:tmpl w:val="11728BF0"/>
    <w:lvl w:ilvl="0" w:tplc="04090017">
      <w:start w:val="1"/>
      <w:numFmt w:val="japaneseCounting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lang w:val="en-US"/>
      </w:rPr>
    </w:lvl>
    <w:lvl w:ilvl="1" w:tplc="04090019">
      <w:start w:val="1"/>
      <w:numFmt w:val="japaneseCounting"/>
      <w:lvlText w:val="第%2条"/>
      <w:lvlJc w:val="left"/>
      <w:pPr>
        <w:ind w:left="1140" w:hanging="720"/>
      </w:pPr>
      <w:rPr>
        <w:rFonts w:hint="default"/>
      </w:rPr>
    </w:lvl>
    <w:lvl w:ilvl="2" w:tplc="0409001B">
      <w:start w:val="1"/>
      <w:numFmt w:val="japaneseCounting"/>
      <w:lvlText w:val="第%3章"/>
      <w:lvlJc w:val="left"/>
      <w:pPr>
        <w:ind w:left="1920" w:hanging="1080"/>
      </w:pPr>
      <w:rPr>
        <w:rFonts w:hint="default"/>
      </w:rPr>
    </w:lvl>
    <w:lvl w:ilvl="3" w:tplc="0409000F">
      <w:start w:val="1"/>
      <w:numFmt w:val="japaneseCounting"/>
      <w:lvlText w:val="%4、"/>
      <w:lvlJc w:val="left"/>
      <w:pPr>
        <w:ind w:left="1740" w:hanging="480"/>
      </w:pPr>
      <w:rPr>
        <w:rFonts w:hint="default"/>
      </w:rPr>
    </w:lvl>
    <w:lvl w:ilvl="4" w:tplc="04090019">
      <w:start w:val="1"/>
      <w:numFmt w:val="decimal"/>
      <w:lvlText w:val="%5、"/>
      <w:lvlJc w:val="left"/>
      <w:pPr>
        <w:ind w:left="2040" w:hanging="360"/>
      </w:pPr>
      <w:rPr>
        <w:rFonts w:hint="default"/>
      </w:rPr>
    </w:lvl>
    <w:lvl w:ilvl="5" w:tplc="0409001B">
      <w:start w:val="1"/>
      <w:numFmt w:val="japaneseCounting"/>
      <w:lvlText w:val="第%6节"/>
      <w:lvlJc w:val="left"/>
      <w:pPr>
        <w:ind w:left="28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F8"/>
    <w:rsid w:val="000135B4"/>
    <w:rsid w:val="000C0BF8"/>
    <w:rsid w:val="005D6A04"/>
    <w:rsid w:val="00E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AAF8"/>
  <w15:chartTrackingRefBased/>
  <w15:docId w15:val="{D139066F-A559-4C4B-B9A3-268545C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5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5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2844597530@qq.com</dc:creator>
  <cp:keywords/>
  <dc:description/>
  <cp:lastModifiedBy>2844597530@qq.com</cp:lastModifiedBy>
  <cp:revision>2</cp:revision>
  <dcterms:created xsi:type="dcterms:W3CDTF">2019-06-17T07:54:00Z</dcterms:created>
  <dcterms:modified xsi:type="dcterms:W3CDTF">2019-06-17T07:55:00Z</dcterms:modified>
</cp:coreProperties>
</file>